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2.wmf" ContentType="image/x-wmf"/>
  <Override PartName="/word/media/image1.jpeg" ContentType="image/jpeg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1"/>
        <w:autoSpaceDE w:val="false"/>
        <w:jc w:val="center"/>
        <w:rPr>
          <w:rFonts w:ascii="Arial" w:hAnsi="Arial" w:cs="Arial"/>
          <w:b/>
          <w:b/>
          <w:bCs/>
          <w:color w:val="93C01F"/>
          <w:sz w:val="36"/>
          <w:szCs w:val="36"/>
          <w:lang w:eastAsia="es-ES"/>
        </w:rPr>
      </w:pPr>
      <w:r>
        <w:rPr>
          <w:rFonts w:cs="Arial" w:ascii="Arial" w:hAnsi="Arial"/>
          <w:b/>
          <w:bCs/>
          <w:color w:val="93C01F"/>
          <w:sz w:val="36"/>
          <w:szCs w:val="36"/>
          <w:lang w:eastAsia="es-ES"/>
        </w:rPr>
        <w:t>Introducción al vídeo en educación.</w:t>
        <w:br/>
        <w:t>¿Por qué vídeo, cómo?</w:t>
      </w:r>
    </w:p>
    <w:p>
      <w:pPr>
        <w:pStyle w:val="Normal1"/>
        <w:autoSpaceDE w:val="false"/>
        <w:jc w:val="center"/>
        <w:rPr>
          <w:rFonts w:ascii="Arial" w:hAnsi="Arial" w:cs="Arial"/>
          <w:b/>
          <w:b/>
          <w:bCs/>
          <w:color w:val="EC5205"/>
          <w:sz w:val="32"/>
          <w:szCs w:val="32"/>
          <w:lang w:eastAsia="es-ES"/>
        </w:rPr>
      </w:pPr>
      <w:r>
        <w:rPr>
          <w:rFonts w:cs="Arial" w:ascii="Arial" w:hAnsi="Arial"/>
          <w:b/>
          <w:bCs/>
          <w:color w:val="EC5205"/>
          <w:sz w:val="32"/>
          <w:szCs w:val="32"/>
          <w:lang w:eastAsia="es-ES"/>
        </w:rPr>
      </w:r>
    </w:p>
    <w:p>
      <w:pPr>
        <w:pStyle w:val="Normal1"/>
        <w:autoSpaceDE w:val="false"/>
        <w:jc w:val="center"/>
        <w:rPr>
          <w:rFonts w:ascii="Arial" w:hAnsi="Arial" w:cs="Arial"/>
          <w:b/>
          <w:b/>
          <w:bCs/>
          <w:color w:val="000000"/>
          <w:sz w:val="32"/>
          <w:szCs w:val="32"/>
          <w:lang w:eastAsia="es-ES"/>
        </w:rPr>
      </w:pPr>
      <w:r>
        <w:rPr>
          <w:rFonts w:cs="Arial" w:ascii="Arial" w:hAnsi="Arial"/>
          <w:b/>
          <w:bCs/>
          <w:color w:val="000000"/>
          <w:sz w:val="32"/>
          <w:szCs w:val="32"/>
          <w:lang w:eastAsia="es-ES"/>
        </w:rPr>
        <w:t xml:space="preserve">EJERCICIO DE MEDICIÓN DE TIEMPOS DE LOCUCIÓN </w:t>
      </w:r>
      <w:r>
        <w:rPr>
          <w:rFonts w:cs="Arial" w:ascii="Arial" w:hAnsi="Arial"/>
          <w:b/>
          <w:bCs/>
          <w:color w:val="000000"/>
          <w:sz w:val="32"/>
          <w:szCs w:val="32"/>
          <w:lang w:eastAsia="es-ES"/>
        </w:rPr>
        <w:t xml:space="preserve">/ TEMA </w:t>
      </w:r>
      <w:r>
        <w:rPr>
          <w:rFonts w:cs="Arial" w:ascii="Arial" w:hAnsi="Arial"/>
          <w:b/>
          <w:bCs/>
          <w:color w:val="000000"/>
          <w:sz w:val="32"/>
          <w:szCs w:val="32"/>
          <w:lang w:eastAsia="es-ES"/>
        </w:rPr>
        <w:t>1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EC5205"/>
          <w:sz w:val="32"/>
          <w:szCs w:val="32"/>
          <w:lang w:eastAsia="es-ES"/>
        </w:rPr>
      </w:pPr>
      <w:r>
        <w:rPr>
          <w:rFonts w:cs="Arial" w:ascii="Arial" w:hAnsi="Arial"/>
          <w:b/>
          <w:bCs/>
          <w:color w:val="EC5205"/>
          <w:sz w:val="32"/>
          <w:szCs w:val="32"/>
          <w:lang w:eastAsia="es-ES"/>
        </w:rPr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00954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009540"/>
          <w:sz w:val="24"/>
          <w:szCs w:val="24"/>
          <w:lang w:eastAsia="es-ES"/>
        </w:rPr>
        <w:t>Enunciado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>
          <w:rFonts w:ascii="Arial" w:hAnsi="Arial" w:cs="Arial"/>
          <w:color w:val="000000"/>
          <w:lang w:eastAsia="es-ES"/>
        </w:rPr>
      </w:pPr>
      <w:r>
        <w:rPr>
          <w:rFonts w:cs="Arial" w:ascii="Arial" w:hAnsi="Arial"/>
          <w:color w:val="000000"/>
          <w:lang w:eastAsia="es-ES"/>
        </w:rPr>
        <w:t xml:space="preserve">La </w:t>
      </w:r>
      <w:r>
        <w:rPr>
          <w:rFonts w:cs="Arial" w:ascii="Arial" w:hAnsi="Arial"/>
          <w:color w:val="000000"/>
          <w:lang w:eastAsia="es-ES"/>
        </w:rPr>
        <w:t>locución</w:t>
      </w:r>
      <w:r>
        <w:rPr>
          <w:rFonts w:cs="Arial" w:ascii="Arial" w:hAnsi="Arial"/>
          <w:color w:val="000000"/>
          <w:lang w:eastAsia="es-ES"/>
        </w:rPr>
        <w:t xml:space="preserve"> en una pieza audiovisual suele ser el hilo conductor de su discurso </w:t>
      </w:r>
      <w:r>
        <w:rPr>
          <w:rFonts w:cs="Arial" w:ascii="Arial" w:hAnsi="Arial"/>
          <w:color w:val="000000"/>
          <w:lang w:eastAsia="es-ES"/>
        </w:rPr>
        <w:t>narrativo</w:t>
      </w:r>
      <w:r>
        <w:rPr>
          <w:rFonts w:cs="Arial" w:ascii="Arial" w:hAnsi="Arial"/>
          <w:color w:val="000000"/>
          <w:lang w:eastAsia="es-ES"/>
        </w:rPr>
        <w:t xml:space="preserve">. </w:t>
      </w:r>
      <w:r>
        <w:rPr>
          <w:rFonts w:cs="Arial" w:ascii="Arial" w:hAnsi="Arial"/>
          <w:color w:val="000000"/>
          <w:lang w:eastAsia="es-ES"/>
        </w:rPr>
        <w:t>Además de su tono y cadencia, debe controlarse la duración</w:t>
      </w:r>
      <w:r>
        <w:rPr>
          <w:rFonts w:cs="Arial" w:ascii="Arial" w:hAnsi="Arial"/>
          <w:color w:val="000000"/>
          <w:lang w:eastAsia="es-ES"/>
        </w:rPr>
        <w:t>. Est</w:t>
      </w:r>
      <w:r>
        <w:rPr>
          <w:rFonts w:cs="Arial" w:ascii="Arial" w:hAnsi="Arial"/>
          <w:color w:val="000000"/>
          <w:lang w:eastAsia="es-ES"/>
        </w:rPr>
        <w:t>e</w:t>
      </w:r>
      <w:r>
        <w:rPr>
          <w:rFonts w:cs="Arial" w:ascii="Arial" w:hAnsi="Arial"/>
          <w:color w:val="000000"/>
          <w:lang w:eastAsia="es-ES"/>
        </w:rPr>
        <w:t xml:space="preserve"> ejercicio te permitirá </w:t>
      </w:r>
      <w:r>
        <w:rPr>
          <w:rFonts w:cs="Arial" w:ascii="Arial" w:hAnsi="Arial"/>
          <w:color w:val="000000"/>
          <w:lang w:eastAsia="es-ES"/>
        </w:rPr>
        <w:t xml:space="preserve">medir y por tanto </w:t>
      </w:r>
      <w:r>
        <w:rPr>
          <w:rFonts w:cs="Arial" w:ascii="Arial" w:hAnsi="Arial"/>
          <w:color w:val="000000"/>
          <w:lang w:eastAsia="es-ES"/>
        </w:rPr>
        <w:t>control</w:t>
      </w:r>
      <w:r>
        <w:rPr>
          <w:rFonts w:cs="Arial" w:ascii="Arial" w:hAnsi="Arial"/>
          <w:color w:val="000000"/>
          <w:lang w:eastAsia="es-ES"/>
        </w:rPr>
        <w:t>ar la duración final de la pieza antes de ser grabada.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00954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009540"/>
          <w:sz w:val="24"/>
          <w:szCs w:val="24"/>
          <w:lang w:eastAsia="es-ES"/>
        </w:rPr>
        <w:t>Objetivos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>
          <w:rFonts w:ascii="Arial" w:hAnsi="Arial" w:cs="Arial"/>
          <w:color w:val="000000"/>
          <w:lang w:eastAsia="es-ES"/>
        </w:rPr>
      </w:pPr>
      <w:r>
        <w:rPr>
          <w:rFonts w:cs="Arial" w:ascii="Arial" w:hAnsi="Arial"/>
          <w:color w:val="000000"/>
          <w:lang w:eastAsia="es-ES"/>
        </w:rPr>
        <w:t xml:space="preserve">Conocer la dificultad del proceso de locución y </w:t>
      </w:r>
      <w:r>
        <w:rPr>
          <w:rFonts w:cs="Arial" w:ascii="Arial" w:hAnsi="Arial"/>
          <w:color w:val="000000"/>
          <w:lang w:eastAsia="es-ES"/>
        </w:rPr>
        <w:t xml:space="preserve">poner en práctica </w:t>
      </w:r>
      <w:r>
        <w:rPr>
          <w:rFonts w:cs="Arial" w:ascii="Arial" w:hAnsi="Arial"/>
          <w:color w:val="000000"/>
          <w:lang w:eastAsia="es-ES"/>
        </w:rPr>
        <w:t xml:space="preserve">algunas buenas prácticas para obtener resultados óptimos </w:t>
      </w:r>
      <w:r>
        <w:rPr>
          <w:rFonts w:cs="Arial" w:ascii="Arial" w:hAnsi="Arial"/>
          <w:color w:val="000000"/>
          <w:lang w:eastAsia="es-ES"/>
        </w:rPr>
        <w:t>durante el proceso de locución.</w:t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FF000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FF0000"/>
          <w:sz w:val="24"/>
          <w:szCs w:val="24"/>
          <w:lang w:eastAsia="es-ES"/>
        </w:rPr>
      </w:r>
    </w:p>
    <w:p>
      <w:pPr>
        <w:pStyle w:val="Normal1"/>
        <w:autoSpaceDE w:val="false"/>
        <w:rPr>
          <w:rFonts w:ascii="Arial" w:hAnsi="Arial" w:cs="Arial"/>
          <w:b/>
          <w:b/>
          <w:bCs/>
          <w:color w:val="009540"/>
          <w:sz w:val="24"/>
          <w:szCs w:val="24"/>
          <w:lang w:eastAsia="es-ES"/>
        </w:rPr>
      </w:pPr>
      <w:r>
        <w:rPr>
          <w:rFonts w:cs="Arial" w:ascii="Arial" w:hAnsi="Arial"/>
          <w:b/>
          <w:bCs/>
          <w:color w:val="009540"/>
          <w:sz w:val="24"/>
          <w:szCs w:val="24"/>
          <w:lang w:eastAsia="es-ES"/>
        </w:rPr>
        <w:t>Medición de tiempos de locución.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 xml:space="preserve">Para el presente ejercicio harás las veces de locutor o locutora, es decir, debes leer el guión propuesto, y medir el tiempo que tardas en hacerlo. Hazlo en voz alta y pensando  que te diriges a una hipotética audiencia. Respira y no tengas prisa. 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Cuando hayas repetido la operación varias veces, usa, por ejemplo, tu móvil para grabar tu voz y podrás comprobar si te gustó el resultado y cuanto tiempo te ocupó.</w:t>
      </w:r>
    </w:p>
    <w:p>
      <w:pPr>
        <w:pStyle w:val="Normal"/>
        <w:rPr>
          <w:rFonts w:ascii="Verdana" w:hAnsi="Verdana" w:cs="Arial"/>
          <w:sz w:val="20"/>
          <w:szCs w:val="20"/>
        </w:rPr>
      </w:pPr>
      <w:r>
        <w:rPr>
          <w:rFonts w:cs="Arial" w:ascii="Verdana" w:hAnsi="Verdana"/>
          <w:sz w:val="20"/>
          <w:szCs w:val="20"/>
        </w:rPr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>Después vé</w:t>
      </w:r>
      <w:bookmarkStart w:id="0" w:name="_GoBack"/>
      <w:bookmarkEnd w:id="0"/>
      <w:r>
        <w:rPr>
          <w:rFonts w:cs="Arial" w:ascii="Verdana" w:hAnsi="Verdana"/>
          <w:sz w:val="20"/>
          <w:szCs w:val="20"/>
        </w:rPr>
        <w:t xml:space="preserve"> al foro del módulo 1: “Vídeo Educativo &amp; Producción Audiovisual”. Estaremos comentando allí.</w:t>
      </w:r>
    </w:p>
    <w:p>
      <w:pPr>
        <w:pStyle w:val="Normal"/>
        <w:rPr/>
      </w:pPr>
      <w:r>
        <w:rPr>
          <w:rFonts w:cs="Arial" w:ascii="Verdana" w:hAnsi="Verdana"/>
          <w:sz w:val="20"/>
          <w:szCs w:val="20"/>
        </w:rPr>
        <w:t xml:space="preserve"> </w:t>
      </w:r>
    </w:p>
    <w:tbl>
      <w:tblPr>
        <w:tblW w:w="9239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 w:noVBand="0" w:noHBand="0" w:lastColumn="1" w:firstColumn="1" w:lastRow="1" w:firstRow="1"/>
      </w:tblPr>
      <w:tblGrid>
        <w:gridCol w:w="1808"/>
        <w:gridCol w:w="5530"/>
        <w:gridCol w:w="1901"/>
      </w:tblGrid>
      <w:tr>
        <w:trPr>
          <w:trHeight w:val="78" w:hRule="atLeast"/>
        </w:trPr>
        <w:tc>
          <w:tcPr>
            <w:tcW w:w="92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009045" w:val="clear"/>
            <w:tcMar>
              <w:left w:w="108" w:type="dxa"/>
            </w:tcMar>
          </w:tcPr>
          <w:p>
            <w:pPr>
              <w:pStyle w:val="Heading3"/>
              <w:rPr/>
            </w:pPr>
            <w:r>
              <w:rPr/>
              <w:t>Guión: Nombre de la pieza</w:t>
            </w:r>
          </w:p>
        </w:tc>
      </w:tr>
      <w:tr>
        <w:trPr/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b/>
                <w:color w:val="009045"/>
                <w:sz w:val="20"/>
                <w:szCs w:val="20"/>
              </w:rPr>
              <w:t>Sección</w:t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b/>
                <w:color w:val="009045"/>
                <w:sz w:val="20"/>
                <w:szCs w:val="20"/>
              </w:rPr>
              <w:t>(no se lee)</w:t>
            </w:r>
          </w:p>
        </w:tc>
        <w:tc>
          <w:tcPr>
            <w:tcW w:w="5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b/>
                <w:color w:val="009045"/>
                <w:sz w:val="20"/>
                <w:szCs w:val="20"/>
              </w:rPr>
              <w:t>Voz</w:t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b/>
                <w:color w:val="009045"/>
                <w:sz w:val="20"/>
                <w:szCs w:val="20"/>
              </w:rPr>
              <w:t>Imagen</w:t>
            </w:r>
          </w:p>
        </w:tc>
      </w:tr>
      <w:tr>
        <w:trPr/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color w:val="A6A6A6" w:themeColor="background1" w:themeShade="a6"/>
                <w:sz w:val="20"/>
                <w:szCs w:val="20"/>
              </w:rPr>
              <w:t>Título</w:t>
            </w:r>
          </w:p>
        </w:tc>
        <w:tc>
          <w:tcPr>
            <w:tcW w:w="5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Bienvenidos a las jornadas “Horses and human walking together” 2013</w:t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Nada por ahora</w:t>
            </w:r>
          </w:p>
        </w:tc>
      </w:tr>
      <w:tr>
        <w:trPr/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color w:val="A6A6A6" w:themeColor="background1" w:themeShade="a6"/>
                <w:sz w:val="20"/>
                <w:szCs w:val="20"/>
              </w:rPr>
              <w:t>Presentación del docente</w:t>
            </w:r>
          </w:p>
        </w:tc>
        <w:tc>
          <w:tcPr>
            <w:tcW w:w="5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Mi nombre es Lucy Rees. Soy escritora, etóloga equina y domadora, soy galesa y he viajado y trabajado en varios países en búsqueda de las formas mas fáciles, universalmente aplicadas y exitosas de tratar con los caballos.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Nada por ahora</w:t>
            </w:r>
          </w:p>
        </w:tc>
      </w:tr>
      <w:tr>
        <w:trPr/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color w:val="A6A6A6" w:themeColor="background1" w:themeShade="a6"/>
                <w:sz w:val="20"/>
                <w:szCs w:val="20"/>
              </w:rPr>
              <w:t>Importancia del tema del curso</w:t>
            </w:r>
          </w:p>
        </w:tc>
        <w:tc>
          <w:tcPr>
            <w:tcW w:w="5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Tenemos por delante  romper con la forma tradicional de mirar al caballo, como si fuera un animal al que hay que someter rompiendo su espíritu, sin ninguna posibilidad de expresión.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Buscamos otro nivel de relación basada en el respeto mutuo que nos permita llegar a vivir con otra conciencia, una vida mejor para todos. Esto no es un club exclusivo, es una voluntad de hacer una sociedad diferente entre caballos y humanos.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Nada por ahora</w:t>
            </w:r>
          </w:p>
        </w:tc>
      </w:tr>
      <w:tr>
        <w:trPr/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color w:val="A6A6A6" w:themeColor="background1" w:themeShade="a6"/>
                <w:sz w:val="20"/>
                <w:szCs w:val="20"/>
              </w:rPr>
              <w:t>Finalidad del curso</w:t>
            </w:r>
          </w:p>
        </w:tc>
        <w:tc>
          <w:tcPr>
            <w:tcW w:w="5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La finalidad de estas jornadas es acercar personas sensibles con el verdadero cambio, desterrar tradiciones obsoletas, establecer puntos de unión de profesionales y amantes del caballo con un denominador común, apertura y conexión…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Conocer nuestro cuerpo, escucharnos y observar nos hace mas conscientes de nosotros mismos, conectarnos con nuestro verdadero ser, abre la puerta a la verdadera conexión con el caballo.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Tratamientos y terapias holísticas para el caballo y los humanos, Horses and Human donde las personas se integran en el concepto holistico, responsables de nosotros y responsables de ellos, los caballos.</w:t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Nada por ahora</w:t>
            </w:r>
          </w:p>
        </w:tc>
      </w:tr>
      <w:tr>
        <w:trPr/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color w:val="A6A6A6" w:themeColor="background1" w:themeShade="a6"/>
                <w:sz w:val="20"/>
                <w:szCs w:val="20"/>
              </w:rPr>
              <w:t>Breve descripción del contenido</w:t>
            </w:r>
          </w:p>
        </w:tc>
        <w:tc>
          <w:tcPr>
            <w:tcW w:w="5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La edición de este año contará con la presencia de algunas figuras como: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Daniel Anz, Especializado en el equilibrio corporal del caballo. Siendo herrador de caballos se encuentra a favor del concepto “caballos descalzos”, practicándolo también en diferentes disciplinas deportivas.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Sandra de Isidro, Profesional de la doma, se mueve con la lucha por un trabajo más respetuoso con los caballos, ha trabajado para particulares y yeguadas y está incluida en la asociación nacional de doma natural.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Diego Mas, veterinario clínico equino desde 1987.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 xml:space="preserve">Francesco De Giorgio, nacido en Italia, país en el que es reconocido como un biólogo de renombre, etólogo e investigador del comportamiento aplicado, es miembro del Comité de Ética del ISAE (Sociedad Internacional de Etología Aplicada), y está especializado en la etología equina y canina. 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Pau Jeffrey, combina las artes marciales con el tiro con arco, monta a sus caballos sin herraduras, sin filete y trabaja con ellos con doma respetuosa, donde la colaboración no deja lugar a la sumisión.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Brigitte Pont, profesora de hatha yoga (IYF) pranayama,relajación y cuerpo-conciencia. Con un experiencia de más de 20 años en el trabajo de técnicas corporales, como la danza, la expresión corporal y la reeducación postural.</w:t>
            </w:r>
          </w:p>
          <w:p>
            <w:pPr>
              <w:pStyle w:val="Normal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cs="Arial" w:ascii="Verdana" w:hAnsi="Verdana"/>
                <w:sz w:val="20"/>
                <w:szCs w:val="20"/>
              </w:rPr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i/>
                <w:i/>
                <w:sz w:val="20"/>
                <w:szCs w:val="28"/>
              </w:rPr>
            </w:pPr>
            <w:r>
              <w:rPr>
                <w:i/>
                <w:sz w:val="20"/>
                <w:szCs w:val="28"/>
              </w:rPr>
            </w:r>
          </w:p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Nada por ahora</w:t>
            </w:r>
          </w:p>
        </w:tc>
      </w:tr>
      <w:tr>
        <w:trPr/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color w:val="A6A6A6" w:themeColor="background1" w:themeShade="a6"/>
                <w:sz w:val="20"/>
                <w:szCs w:val="20"/>
              </w:rPr>
              <w:t>Invitación a participar en el curso</w:t>
            </w:r>
          </w:p>
        </w:tc>
        <w:tc>
          <w:tcPr>
            <w:tcW w:w="5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Horses and Human, es ante todo una plataforma de divulgación y un puente de conexión entre caballos y personas que tienen algo diferente que aportar. Os invitamos a participar y compartir esta maravillosa oportunidad.</w:t>
            </w:r>
          </w:p>
          <w:p>
            <w:pPr>
              <w:pStyle w:val="Normal"/>
              <w:rPr>
                <w:rFonts w:ascii="Verdana" w:hAnsi="Verdana" w:cs="Arial"/>
                <w:b/>
                <w:b/>
                <w:color w:val="FF0000"/>
                <w:sz w:val="20"/>
                <w:szCs w:val="20"/>
              </w:rPr>
            </w:pPr>
            <w:r>
              <w:rPr>
                <w:rFonts w:cs="Arial" w:ascii="Verdana" w:hAnsi="Verdana"/>
                <w:b/>
                <w:color w:val="FF0000"/>
                <w:sz w:val="20"/>
                <w:szCs w:val="20"/>
              </w:rPr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Nada por ahora</w:t>
            </w:r>
          </w:p>
        </w:tc>
      </w:tr>
      <w:tr>
        <w:trPr/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color w:val="A6A6A6" w:themeColor="background1" w:themeShade="a6"/>
                <w:sz w:val="20"/>
                <w:szCs w:val="20"/>
              </w:rPr>
              <w:t>Despedida</w:t>
            </w:r>
          </w:p>
        </w:tc>
        <w:tc>
          <w:tcPr>
            <w:tcW w:w="5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Espero que los contenidos os resulten de interés. Os espero en las jornadas.</w:t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>
                <w:rFonts w:cs="Arial" w:ascii="Verdana" w:hAnsi="Verdana"/>
                <w:sz w:val="20"/>
                <w:szCs w:val="20"/>
              </w:rPr>
              <w:t>Nada por ahora</w:t>
            </w:r>
          </w:p>
        </w:tc>
      </w:tr>
    </w:tbl>
    <w:p>
      <w:pPr>
        <w:pStyle w:val="Normal"/>
        <w:jc w:val="both"/>
        <w:rPr>
          <w:rFonts w:ascii="Trebuchet MS" w:hAnsi="Trebuchet MS" w:cs="Arial"/>
          <w:bCs/>
          <w:i/>
          <w:i/>
          <w:iCs/>
          <w:sz w:val="20"/>
          <w:szCs w:val="22"/>
        </w:rPr>
      </w:pPr>
      <w:r>
        <w:rPr>
          <w:rFonts w:cs="Arial" w:ascii="Trebuchet MS" w:hAnsi="Trebuchet MS"/>
          <w:bCs/>
          <w:i/>
          <w:iCs/>
          <w:sz w:val="20"/>
          <w:szCs w:val="22"/>
        </w:rPr>
      </w:r>
    </w:p>
    <w:p>
      <w:pPr>
        <w:pStyle w:val="Normal"/>
        <w:rPr>
          <w:rFonts w:ascii="Trebuchet MS" w:hAnsi="Trebuchet MS" w:cs="Arial"/>
          <w:bCs/>
          <w:i/>
          <w:i/>
          <w:iCs/>
          <w:sz w:val="20"/>
          <w:szCs w:val="22"/>
        </w:rPr>
      </w:pPr>
      <w:r>
        <w:rPr>
          <w:rFonts w:cs="Arial" w:ascii="Trebuchet MS" w:hAnsi="Trebuchet MS"/>
          <w:bCs/>
          <w:i/>
          <w:iCs/>
          <w:sz w:val="20"/>
          <w:szCs w:val="22"/>
        </w:rPr>
      </w:r>
    </w:p>
    <w:p>
      <w:pPr>
        <w:pStyle w:val="Normal"/>
        <w:rPr>
          <w:rFonts w:ascii="Arial" w:hAnsi="Arial" w:cs="Arial"/>
          <w:sz w:val="24"/>
          <w:szCs w:val="24"/>
          <w:lang w:val="es-ES"/>
        </w:rPr>
      </w:pPr>
      <w:r>
        <w:rPr>
          <w:rFonts w:cs="Arial" w:ascii="Trebuchet MS" w:hAnsi="Trebuchet MS"/>
          <w:bCs/>
          <w:i/>
          <w:iCs/>
          <w:sz w:val="20"/>
          <w:szCs w:val="22"/>
          <w:lang w:val="es-ES"/>
        </w:rPr>
        <w:t>Guión ficticio inspirado en las jornadas holísticas de Horse &amp; Human: http://www.horsesandhuman.com</w:t>
      </w:r>
    </w:p>
    <w:sectPr>
      <w:headerReference w:type="default" r:id="rId2"/>
      <w:type w:val="nextPage"/>
      <w:pgSz w:w="11906" w:h="16838"/>
      <w:pgMar w:left="1701" w:right="1701" w:header="708" w:top="1417" w:footer="0" w:bottom="708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swiss"/>
    <w:pitch w:val="variable"/>
  </w:font>
  <w:font w:name="Verdana">
    <w:charset w:val="01"/>
    <w:family w:val="roman"/>
    <w:pitch w:val="variable"/>
  </w:font>
  <w:font w:name="Tahoma">
    <w:charset w:val="01"/>
    <w:family w:val="swiss"/>
    <w:pitch w:val="variable"/>
  </w:font>
  <w:font w:name="Arial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Arial">
    <w:charset w:val="01"/>
    <w:family w:val="swiss"/>
    <w:pitch w:val="variable"/>
  </w:font>
  <w:font w:name="Trebuchet MS">
    <w:charset w:val="01"/>
    <w:family w:val="roman"/>
    <w:pitch w:val="variable"/>
  </w:font>
  <w:font w:name="Verdana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57" w:type="dxa"/>
      <w:jc w:val="left"/>
      <w:tblInd w:w="-351" w:type="dxa"/>
      <w:tblBorders/>
      <w:tblCellMar>
        <w:top w:w="0" w:type="dxa"/>
        <w:left w:w="108" w:type="dxa"/>
        <w:bottom w:w="0" w:type="dxa"/>
        <w:right w:w="108" w:type="dxa"/>
      </w:tblCellMar>
    </w:tblPr>
    <w:tblGrid>
      <w:gridCol w:w="1843"/>
      <w:gridCol w:w="4962"/>
      <w:gridCol w:w="2552"/>
    </w:tblGrid>
    <w:tr>
      <w:trPr>
        <w:trHeight w:val="1624" w:hRule="atLeast"/>
      </w:trPr>
      <w:tc>
        <w:tcPr>
          <w:tcW w:w="1843" w:type="dxa"/>
          <w:tcBorders/>
          <w:shd w:fill="auto" w:val="clear"/>
          <w:vAlign w:val="center"/>
        </w:tcPr>
        <w:p>
          <w:pPr>
            <w:pStyle w:val="Normal1"/>
            <w:jc w:val="center"/>
            <w:rPr/>
          </w:pPr>
          <w:r>
            <w:rPr>
              <w:rStyle w:val="Fuentedeprrafopredeter"/>
              <w:rFonts w:ascii="Verdana" w:hAnsi="Verdana"/>
              <w:color w:val="993300"/>
              <w:sz w:val="15"/>
              <w:szCs w:val="15"/>
              <w:lang w:eastAsia="es-ES"/>
            </w:rPr>
            <w:drawing>
              <wp:inline distT="0" distB="0" distL="0" distR="0">
                <wp:extent cx="981075" cy="971550"/>
                <wp:effectExtent l="0" t="0" r="0" b="0"/>
                <wp:docPr id="1" name="Imagen 1" descr="logo-verde-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logo-verde-0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1075" cy="9715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tcBorders/>
          <w:shd w:fill="auto" w:val="clear"/>
          <w:vAlign w:val="center"/>
        </w:tcPr>
        <w:p>
          <w:pPr>
            <w:pStyle w:val="Normal1"/>
            <w:autoSpaceDE w:val="false"/>
            <w:ind w:left="0" w:right="-107" w:hanging="0"/>
            <w:rPr/>
          </w:pPr>
          <w:r>
            <w:rPr>
              <w:rStyle w:val="Fuentedeprrafopredeter"/>
              <w:rFonts w:eastAsia="Times New Roman" w:cs="Arial" w:ascii="Arial" w:hAnsi="Arial"/>
              <w:b/>
              <w:color w:val="000000"/>
              <w:sz w:val="20"/>
              <w:szCs w:val="20"/>
              <w:lang w:eastAsia="es-ES"/>
            </w:rPr>
            <w:t xml:space="preserve">López Álvarez Daniel (2018/2019). Autoproducción de vídeos educativos para elearning. </w:t>
          </w:r>
          <w:r>
            <w:rPr>
              <w:rStyle w:val="Fuentedeprrafopredeter"/>
              <w:rFonts w:eastAsia="Times New Roman" w:cs="Arial" w:ascii="Arial" w:hAnsi="Arial"/>
              <w:b/>
              <w:color w:val="000000"/>
              <w:sz w:val="20"/>
              <w:szCs w:val="20"/>
              <w:lang w:eastAsia="es-ES"/>
            </w:rPr>
            <w:t>OpenCourseWare-UNIA</w:t>
          </w:r>
        </w:p>
        <w:p>
          <w:pPr>
            <w:pStyle w:val="Normal1"/>
            <w:autoSpaceDE w:val="false"/>
            <w:ind w:left="0" w:right="-108" w:hanging="0"/>
            <w:rPr/>
          </w:pPr>
          <w:r>
            <w:rPr>
              <w:rStyle w:val="Fuentedeprrafopredeter"/>
              <w:rFonts w:eastAsia="Times New Roman" w:cs="Arial" w:ascii="Arial" w:hAnsi="Arial"/>
              <w:b/>
              <w:sz w:val="20"/>
              <w:szCs w:val="20"/>
              <w:lang w:eastAsia="es-ES"/>
            </w:rPr>
            <w:t>(ocw.unia.es)</w:t>
          </w:r>
          <w:r>
            <w:rPr>
              <w:rStyle w:val="Fuentedeprrafopredeter"/>
              <w:rFonts w:cs="Arial" w:ascii="Arial" w:hAnsi="Arial"/>
              <w:b/>
              <w:sz w:val="20"/>
              <w:szCs w:val="20"/>
            </w:rPr>
            <w:t>. Bajo licencia Creative-Commons</w:t>
          </w:r>
          <w:r>
            <w:rPr>
              <w:rStyle w:val="Fuentedeprrafopredeter"/>
              <w:rFonts w:cs="Arial" w:ascii="Arial" w:hAnsi="Arial"/>
              <w:b/>
              <w:sz w:val="20"/>
            </w:rPr>
            <w:t xml:space="preserve"> Atribución-NoComercial-CompartirIgual 3.0</w:t>
          </w:r>
        </w:p>
        <w:p>
          <w:pPr>
            <w:pStyle w:val="Normal1"/>
            <w:jc w:val="center"/>
            <w:rPr/>
          </w:pPr>
          <w:r>
            <w:rPr/>
          </w:r>
        </w:p>
      </w:tc>
      <w:tc>
        <w:tcPr>
          <w:tcW w:w="2552" w:type="dxa"/>
          <w:tcBorders/>
          <w:shd w:fill="auto" w:val="clear"/>
          <w:vAlign w:val="center"/>
        </w:tcPr>
        <w:p>
          <w:pPr>
            <w:pStyle w:val="Normal1"/>
            <w:jc w:val="center"/>
            <w:rPr/>
          </w:pPr>
          <w:r>
            <w:rPr>
              <w:rStyle w:val="Fuentedeprrafopredeter"/>
              <w:rFonts w:cs="Arial" w:ascii="Arial" w:hAnsi="Arial"/>
              <w:lang w:eastAsia="es-ES"/>
            </w:rPr>
            <w:drawing>
              <wp:inline distT="0" distB="0" distL="0" distR="0">
                <wp:extent cx="1400175" cy="514350"/>
                <wp:effectExtent l="0" t="0" r="0" b="0"/>
                <wp:docPr id="2" name="Image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0175" cy="5143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>
    <w:pPr>
      <w:pStyle w:val="Encabezado"/>
      <w:rPr/>
    </w:pPr>
    <w:r>
      <w:rPr/>
    </w:r>
  </w:p>
</w:hdr>
</file>

<file path=word/settings.xml><?xml version="1.0" encoding="utf-8"?>
<w:settings xmlns:w="http://schemas.openxmlformats.org/wordprocessingml/2006/main">
  <w:zoom w:percent="90"/>
  <w:defaultTabStop w:val="708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/>
      <w:keepLines w:val="false"/>
      <w:pageBreakBefore w:val="false"/>
      <w:widowControl/>
      <w:pBdr/>
      <w:shd w:fill="FFFFFF" w:val="clear"/>
      <w:kinsoku w:val="true"/>
      <w:overflowPunct w:val="true"/>
      <w:autoSpaceDE w:val="true"/>
      <w:bidi w:val="0"/>
      <w:snapToGrid w:val="true"/>
      <w:spacing w:lineRule="auto" w:line="240"/>
      <w:jc w:val="left"/>
    </w:pPr>
    <w:rPr>
      <w:rFonts w:ascii="Calibri" w:hAnsi="Calibri" w:eastAsia="Calibri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position w:val="0"/>
      <w:sz w:val="20"/>
      <w:sz w:val="20"/>
      <w:szCs w:val="20"/>
      <w:u w:val="none"/>
      <w:vertAlign w:val="baseline"/>
      <w:em w:val="none"/>
      <w:lang w:val="es-ES" w:eastAsia="es-ES" w:bidi="ar-SA"/>
    </w:rPr>
  </w:style>
  <w:style w:type="paragraph" w:styleId="Heading2">
    <w:name w:val="Heading 2"/>
    <w:basedOn w:val="Normal"/>
    <w:next w:val="Normal"/>
    <w:qFormat/>
    <w:pPr>
      <w:keepNext/>
      <w:numPr>
        <w:ilvl w:val="0"/>
        <w:numId w:val="0"/>
      </w:numPr>
      <w:jc w:val="both"/>
      <w:outlineLvl w:val="1"/>
    </w:pPr>
    <w:rPr>
      <w:rFonts w:ascii="Verdana" w:hAnsi="Verdana" w:cs="Arial"/>
      <w:b/>
      <w:sz w:val="20"/>
      <w:szCs w:val="22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Verdana" w:hAnsi="Verdana" w:cs="Arial"/>
      <w:b/>
      <w:color w:val="FFFFFF"/>
      <w:sz w:val="20"/>
      <w:szCs w:val="20"/>
    </w:rPr>
  </w:style>
  <w:style w:type="character" w:styleId="Fuentedeprrafopredeter">
    <w:name w:val="Fuente de párrafo predeter."/>
    <w:qFormat/>
    <w:rPr/>
  </w:style>
  <w:style w:type="character" w:styleId="EncabezadoCar">
    <w:name w:val="Encabezado Car"/>
    <w:basedOn w:val="Fuentedeprrafopredeter"/>
    <w:qFormat/>
    <w:rPr/>
  </w:style>
  <w:style w:type="character" w:styleId="PiedepginaCar">
    <w:name w:val="Pie de página Car"/>
    <w:basedOn w:val="Fuentedeprrafopredeter"/>
    <w:qFormat/>
    <w:rPr/>
  </w:style>
  <w:style w:type="character" w:styleId="TextodegloboCar">
    <w:name w:val="Texto de globo Car"/>
    <w:qFormat/>
    <w:rPr>
      <w:rFonts w:ascii="Tahoma" w:hAnsi="Tahoma" w:cs="Tahoma"/>
      <w:sz w:val="16"/>
      <w:szCs w:val="16"/>
    </w:rPr>
  </w:style>
  <w:style w:type="character" w:styleId="NOMBREELABORADORPORTADACar">
    <w:name w:val="NOMBREELABORADORPORTADA Car"/>
    <w:qFormat/>
    <w:rPr>
      <w:rFonts w:ascii="Arial" w:hAnsi="Arial"/>
      <w:b/>
      <w:bCs/>
      <w:sz w:val="28"/>
      <w:szCs w:val="20"/>
      <w:lang w:val="es-ES"/>
    </w:rPr>
  </w:style>
  <w:style w:type="character" w:styleId="InternetLink">
    <w:name w:val="Internet Link"/>
    <w:rPr>
      <w:color w:val="000080"/>
      <w:u w:val="single"/>
      <w:lang w:val="zxx" w:eastAsia="zxx" w:bidi="zxx"/>
    </w:rPr>
  </w:style>
  <w:style w:type="character" w:styleId="DefaultParagraphFont">
    <w:name w:val="Default Paragraph Font"/>
    <w:qFormat/>
    <w:rPr/>
  </w:style>
  <w:style w:type="character" w:styleId="Instancename">
    <w:name w:val="instancename"/>
    <w:basedOn w:val="DefaultParagraphFont"/>
    <w:qFormat/>
    <w:rPr/>
  </w:style>
  <w:style w:type="paragraph" w:styleId="Normal1">
    <w:name w:val="LO-Normal"/>
    <w:qFormat/>
    <w:pPr>
      <w:keepNext/>
      <w:keepLines w:val="false"/>
      <w:pageBreakBefore w:val="false"/>
      <w:widowControl/>
      <w:pBdr/>
      <w:shd w:fill="FFFFFF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left"/>
    </w:pPr>
    <w:rPr>
      <w:rFonts w:ascii="Calibri" w:hAnsi="Calibri" w:eastAsia="Calibri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position w:val="0"/>
      <w:sz w:val="22"/>
      <w:sz w:val="22"/>
      <w:szCs w:val="22"/>
      <w:u w:val="none"/>
      <w:vertAlign w:val="baseline"/>
      <w:em w:val="none"/>
      <w:lang w:eastAsia="en-US" w:val="es-ES" w:bidi="ar-SA"/>
    </w:rPr>
  </w:style>
  <w:style w:type="paragraph" w:styleId="Encabezado">
    <w:name w:val="Encabezado"/>
    <w:basedOn w:val="Normal1"/>
    <w:qFormat/>
    <w:pPr>
      <w:tabs>
        <w:tab w:val="center" w:pos="4252" w:leader="none"/>
        <w:tab w:val="right" w:pos="8504" w:leader="none"/>
      </w:tabs>
      <w:suppressAutoHyphens w:val="true"/>
    </w:pPr>
    <w:rPr/>
  </w:style>
  <w:style w:type="paragraph" w:styleId="Piedepgina">
    <w:name w:val="Pie de página"/>
    <w:basedOn w:val="Normal1"/>
    <w:qFormat/>
    <w:pPr>
      <w:tabs>
        <w:tab w:val="center" w:pos="4252" w:leader="none"/>
        <w:tab w:val="right" w:pos="8504" w:leader="none"/>
      </w:tabs>
      <w:suppressAutoHyphens w:val="true"/>
    </w:pPr>
    <w:rPr/>
  </w:style>
  <w:style w:type="paragraph" w:styleId="Textodeglobo">
    <w:name w:val="Texto de globo"/>
    <w:basedOn w:val="Normal1"/>
    <w:qFormat/>
    <w:pPr>
      <w:suppressAutoHyphens w:val="true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pPr>
      <w:suppressLineNumbers/>
      <w:tabs>
        <w:tab w:val="center" w:pos="4819" w:leader="none"/>
        <w:tab w:val="right" w:pos="9638" w:leader="none"/>
      </w:tabs>
    </w:pPr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hAnsi="Liberation Sans" w:eastAsia="MS Mincho" w:cs="Tahoma"/>
      <w:sz w:val="28"/>
      <w:szCs w:val="28"/>
    </w:rPr>
  </w:style>
  <w:style w:type="paragraph" w:styleId="TextBody">
    <w:name w:val="Body Text"/>
    <w:basedOn w:val="Normal"/>
    <w:pPr>
      <w:spacing w:lineRule="auto" w:line="288" w:before="0" w:after="140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wmf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</TotalTime>
  <Application>LibreOffice/5.3.3.2$MacOSX_X86_64 LibreOffice_project/3d9a8b4b4e538a85e0782bd6c2d430bafe583448</Application>
  <Pages>3</Pages>
  <Words>720</Words>
  <Characters>3886</Characters>
  <CharactersWithSpaces>4563</CharactersWithSpaces>
  <Paragraphs>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2018-11-12T08:32:00Z</dcterms:created>
  <dc:creator>maria</dc:creator>
  <dc:description/>
  <dc:language>es-ES</dc:language>
  <cp:lastModifiedBy>Daniel López Álvarez</cp:lastModifiedBy>
  <dcterms:modified xsi:type="dcterms:W3CDTF">2019-02-19T20:30:19Z</dcterms:modified>
  <cp:revision>7</cp:revision>
  <dc:subject/>
  <dc:title/>
</cp:coreProperties>
</file>